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header5.xml" ContentType="application/vnd.openxmlformats-officedocument.wordprocessingml.header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start="6096"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start="6096"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start="6096"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true"/>
        <w:keepLines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true"/>
        <w:keepLines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true"/>
        <w:keepLines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true"/>
        <w:keepLines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true"/>
        <w:keepLines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true"/>
        <w:keepLines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true"/>
        <w:keepLines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</w:r>
    </w:p>
    <w:p>
      <w:pPr>
        <w:pStyle w:val="Normal"/>
        <w:keepNext w:val="true"/>
        <w:keepLines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color w:val="000000" w:themeColor="text1"/>
          <w:sz w:val="26"/>
          <w:szCs w:val="26"/>
        </w:rPr>
      </w:pPr>
      <w:r>
        <w:rPr>
          <w:rFonts w:eastAsia="Calibri"/>
          <w:b/>
          <w:color w:val="000000" w:themeColor="text1"/>
          <w:sz w:val="26"/>
          <w:szCs w:val="26"/>
        </w:rPr>
        <w:t xml:space="preserve">Технические требования </w:t>
      </w:r>
    </w:p>
    <w:p>
      <w:pPr>
        <w:pStyle w:val="Normal"/>
        <w:spacing w:before="120" w:after="0"/>
        <w:ind w:firstLine="360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  <w:t xml:space="preserve">«ОКПД2 19.20.29.160 Поставка горюче-смазочных материалов для нужд филиала </w:t>
      </w:r>
    </w:p>
    <w:p>
      <w:pPr>
        <w:pStyle w:val="Normal"/>
        <w:spacing w:before="120" w:after="0"/>
        <w:ind w:firstLine="360"/>
        <w:jc w:val="center"/>
        <w:rPr/>
      </w:pPr>
      <w:r>
        <w:rPr>
          <w:rFonts w:eastAsia="Calibri"/>
          <w:b/>
          <w:color w:val="000000" w:themeColor="text1"/>
          <w:sz w:val="24"/>
          <w:szCs w:val="24"/>
        </w:rPr>
        <w:t>ПАО «РусГидро» - «Воткинская ГЭС»</w:t>
      </w:r>
    </w:p>
    <w:p>
      <w:pPr>
        <w:pStyle w:val="Normal"/>
        <w:spacing w:before="120" w:after="0"/>
        <w:ind w:firstLine="360"/>
        <w:jc w:val="center"/>
        <w:rPr/>
      </w:pPr>
      <w:r>
        <w:rPr>
          <w:rFonts w:eastAsia="Calibri"/>
          <w:b/>
          <w:color w:val="000000" w:themeColor="text1"/>
          <w:sz w:val="24"/>
          <w:szCs w:val="24"/>
        </w:rPr>
        <w:t>Лот № 30-ЭКСП-БПД-2026-ВотГЭС</w:t>
      </w:r>
    </w:p>
    <w:p>
      <w:pPr>
        <w:pStyle w:val="Normal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Normal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Normal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Normal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Normal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Normal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Normal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Normal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Normal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Normal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Normal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Normal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Normal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Normal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Normal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Normal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Normal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Normal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Normal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Normal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Normal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Normal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Normal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Normal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Normal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Normal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Normal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Normal"/>
        <w:ind w:firstLine="357"/>
        <w:jc w:val="center"/>
        <w:rPr>
          <w:rFonts w:eastAsia="Calibri"/>
          <w:color w:val="000000" w:themeColor="text1"/>
          <w:sz w:val="24"/>
          <w:szCs w:val="24"/>
        </w:rPr>
      </w:pPr>
      <w:r>
        <w:rPr>
          <w:rFonts w:eastAsia="Calibri"/>
          <w:color w:val="000000" w:themeColor="text1"/>
          <w:sz w:val="24"/>
          <w:szCs w:val="24"/>
        </w:rPr>
      </w:r>
      <w:r>
        <w:br w:type="page"/>
      </w:r>
    </w:p>
    <w:p>
      <w:pPr>
        <w:pStyle w:val="Normal"/>
        <w:jc w:val="center"/>
        <w:rPr>
          <w:b/>
        </w:rPr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  <w:id w:val="1497176562"/>
      </w:sdtPr>
      <w:sdtContent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</w:rPr>
          </w:pPr>
          <w:r>
            <w:rPr>
              <w:rFonts w:eastAsia="新細明體" w:cs="Arial" w:cstheme="minorBidi" w:eastAsiaTheme="minorEastAsia" w:ascii="Calibri" w:hAnsi="Calibri"/>
            </w:rPr>
          </w:r>
        </w:p>
        <w:p>
          <w:pPr>
            <w:pStyle w:val="TOC4"/>
            <w:rPr>
              <w:rFonts w:ascii="Calibri" w:hAnsi="Calibri" w:eastAsia="新細明體" w:cs="Arial" w:asciiTheme="minorHAnsi" w:cstheme="minorBidi" w:eastAsiaTheme="minorEastAsia" w:hAnsiTheme="minorHAnsi"/>
            </w:rPr>
          </w:pPr>
          <w:r>
            <w:rPr>
              <w:rStyle w:val="Style14"/>
            </w:rPr>
            <w:t>1.     Общие требования………………………………………………………………………….3</w:t>
          </w:r>
        </w:p>
        <w:p>
          <w:pPr>
            <w:pStyle w:val="TOC4"/>
            <w:rPr>
              <w:rFonts w:ascii="Calibri" w:hAnsi="Calibri" w:eastAsia="新細明體" w:cs="Arial" w:asciiTheme="minorHAnsi" w:cstheme="minorBidi" w:eastAsiaTheme="minorEastAsia" w:hAnsiTheme="minorHAnsi"/>
            </w:rPr>
          </w:pPr>
          <w:r>
            <w:rPr>
              <w:rStyle w:val="Style14"/>
            </w:rPr>
            <w:t>2.     Требования к продукции…………………………………………………………………...4</w:t>
          </w:r>
        </w:p>
        <w:p>
          <w:pPr>
            <w:pStyle w:val="Normal"/>
            <w:rPr>
              <w:rFonts w:ascii="Calibri" w:hAnsi="Calibri" w:eastAsia="新細明體" w:cs="Arial" w:asciiTheme="minorHAnsi" w:cstheme="minorBidi" w:eastAsiaTheme="minorEastAsia" w:hAnsiTheme="minorHAnsi"/>
              <w:sz w:val="24"/>
              <w:szCs w:val="24"/>
            </w:rPr>
          </w:pPr>
          <w:r>
            <w:rPr>
              <w:rStyle w:val="Style14"/>
              <w:sz w:val="24"/>
              <w:szCs w:val="24"/>
            </w:rPr>
            <w:t xml:space="preserve">            </w:t>
          </w:r>
          <w:r>
            <w:rPr>
              <w:rStyle w:val="Style14"/>
              <w:sz w:val="24"/>
              <w:szCs w:val="24"/>
            </w:rPr>
            <w:t>2.1. Требования к объемам и срокам поставки                                                                         4</w:t>
          </w:r>
        </w:p>
        <w:p>
          <w:pPr>
            <w:pStyle w:val="Normal"/>
            <w:rPr>
              <w:rFonts w:ascii="Calibri" w:hAnsi="Calibri" w:eastAsia="新細明體" w:cs="Arial" w:asciiTheme="minorHAnsi" w:cstheme="minorBidi" w:eastAsiaTheme="minorEastAsia" w:hAnsiTheme="minorHAnsi"/>
              <w:sz w:val="24"/>
              <w:szCs w:val="24"/>
            </w:rPr>
          </w:pPr>
          <w:r>
            <w:rPr>
              <w:rStyle w:val="Style14"/>
              <w:sz w:val="24"/>
              <w:szCs w:val="24"/>
            </w:rPr>
            <w:t xml:space="preserve">            </w:t>
          </w:r>
          <w:r>
            <w:rPr>
              <w:rStyle w:val="Style14"/>
              <w:sz w:val="24"/>
              <w:szCs w:val="24"/>
            </w:rPr>
            <w:t>2.1.1 Перечень и объем закупаемой продукции                                                                       4</w:t>
          </w:r>
        </w:p>
        <w:p>
          <w:pPr>
            <w:pStyle w:val="TOC4"/>
            <w:rPr>
              <w:rFonts w:ascii="Calibri" w:hAnsi="Calibri" w:eastAsia="新細明體" w:cs="Arial" w:asciiTheme="minorHAnsi" w:cstheme="minorBidi" w:eastAsiaTheme="minorEastAsia" w:hAnsiTheme="minorHAnsi"/>
            </w:rPr>
          </w:pPr>
          <w:r>
            <w:rPr>
              <w:rStyle w:val="Style14"/>
            </w:rPr>
            <w:t xml:space="preserve">   </w:t>
          </w:r>
          <w:hyperlink w:anchor="_Toc203736518">
            <w:r>
              <w:rPr>
                <w:rStyle w:val="Style14"/>
              </w:rPr>
              <w:t>2.2. Требования к качеству продукции</w:t>
              <w:tab/>
              <w:t xml:space="preserve">                                                                                </w:t>
            </w:r>
          </w:hyperlink>
          <w:r>
            <w:rPr/>
            <w:t>5</w:t>
          </w:r>
        </w:p>
        <w:p>
          <w:pPr>
            <w:pStyle w:val="TOC4"/>
            <w:rPr>
              <w:lang w:val="en-US"/>
            </w:rPr>
          </w:pPr>
          <w:r>
            <w:rPr/>
            <w:t>3. Требования к документации по ценообразованию  на этапе закупки……………………</w:t>
          </w:r>
          <w:r>
            <w:rPr>
              <w:lang w:val="en-US"/>
            </w:rPr>
            <w:t>11</w:t>
          </w:r>
        </w:p>
        <w:p>
          <w:pPr>
            <w:pStyle w:val="TOC4"/>
            <w:rPr/>
          </w:pPr>
          <w:r>
            <w:rPr/>
          </w:r>
        </w:p>
        <w:p>
          <w:pPr>
            <w:pStyle w:val="TOC4"/>
            <w:rPr/>
          </w:pPr>
          <w:r>
            <w:rPr/>
          </w:r>
          <w:r>
            <w:br w:type="page"/>
          </w:r>
        </w:p>
        <w:p>
          <w:pPr>
            <w:pStyle w:val="Heading4"/>
            <w:ind w:start="0" w:hanging="0"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1. Общие сведения</w:t>
          </w:r>
        </w:p>
        <w:p>
          <w:pPr>
            <w:pStyle w:val="Heading4"/>
            <w:rPr>
              <w:lang w:val="ru-RU"/>
            </w:rPr>
          </w:pPr>
          <w:r>
            <w:rPr>
              <w:bCs w:val="false"/>
              <w:lang w:val="ru-RU"/>
            </w:rPr>
            <w:t xml:space="preserve">1.1. Обозначения и сокращения </w:t>
          </w:r>
        </w:p>
      </w:sdtContent>
    </w:sdt>
    <w:tbl>
      <w:tblPr>
        <w:tblW w:w="10060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783"/>
        <w:gridCol w:w="8276"/>
      </w:tblGrid>
      <w:tr>
        <w:trPr>
          <w:cantSplit w:val="true"/>
        </w:trPr>
        <w:tc>
          <w:tcPr>
            <w:tcW w:w="1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iCs/>
                <w:sz w:val="24"/>
                <w:szCs w:val="24"/>
                <w:lang w:eastAsia="x-none"/>
              </w:rPr>
            </w:pPr>
            <w:r>
              <w:rPr>
                <w:iCs/>
                <w:sz w:val="24"/>
                <w:szCs w:val="24"/>
                <w:lang w:eastAsia="x-none"/>
              </w:rPr>
              <w:t>ТТ</w:t>
            </w:r>
          </w:p>
        </w:tc>
        <w:tc>
          <w:tcPr>
            <w:tcW w:w="82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bCs/>
                <w:iCs/>
                <w:sz w:val="24"/>
                <w:szCs w:val="24"/>
                <w:lang w:eastAsia="x-none"/>
              </w:rPr>
            </w:pPr>
            <w:r>
              <w:rPr>
                <w:iCs/>
                <w:sz w:val="24"/>
                <w:szCs w:val="24"/>
                <w:lang w:val="en-US" w:eastAsia="x-none"/>
              </w:rPr>
              <w:t>Т</w:t>
            </w:r>
            <w:r>
              <w:rPr>
                <w:iCs/>
                <w:sz w:val="24"/>
                <w:szCs w:val="24"/>
                <w:lang w:eastAsia="x-none"/>
              </w:rPr>
              <w:t>ехнические требования</w:t>
            </w:r>
            <w:r>
              <w:rPr>
                <w:b/>
                <w:bCs/>
                <w:iCs/>
                <w:sz w:val="24"/>
                <w:szCs w:val="24"/>
                <w:lang w:eastAsia="x-none"/>
              </w:rPr>
              <w:t xml:space="preserve"> 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УПД</w:t>
            </w:r>
          </w:p>
        </w:tc>
        <w:tc>
          <w:tcPr>
            <w:tcW w:w="82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Универсальный передаточный документ</w:t>
            </w:r>
          </w:p>
        </w:tc>
      </w:tr>
    </w:tbl>
    <w:p>
      <w:pPr>
        <w:pStyle w:val="Heading4"/>
        <w:rPr>
          <w:bCs w:val="false"/>
          <w:lang w:val="ru-RU"/>
        </w:rPr>
      </w:pPr>
      <w:r>
        <w:rPr>
          <w:bCs w:val="false"/>
          <w:lang w:val="ru-RU"/>
        </w:rPr>
        <w:t xml:space="preserve">1.2. </w:t>
      </w:r>
      <w:bookmarkStart w:id="0" w:name="_Toc46743506"/>
      <w:bookmarkStart w:id="1" w:name="_Toc75446568"/>
      <w:r>
        <w:rPr>
          <w:bCs w:val="false"/>
          <w:lang w:val="ru-RU"/>
        </w:rPr>
        <w:t>Наименование закупаемой продукции</w:t>
      </w:r>
      <w:bookmarkEnd w:id="0"/>
      <w:bookmarkEnd w:id="1"/>
    </w:p>
    <w:p>
      <w:pPr>
        <w:pStyle w:val="Normal"/>
        <w:spacing w:before="120" w:after="0"/>
        <w:ind w:firstLine="360"/>
        <w:jc w:val="both"/>
        <w:rPr/>
      </w:pPr>
      <w:r>
        <w:rPr>
          <w:rFonts w:eastAsia="Calibri"/>
          <w:color w:val="000000" w:themeColor="text1"/>
          <w:sz w:val="24"/>
          <w:szCs w:val="24"/>
          <w:lang w:eastAsia="x-none"/>
        </w:rPr>
        <w:t>ОКПД2 19.20.29.160 Поставка горюче-смазочных материалов для нужд филиала ПАО «РусГидро» - «Воткинская ГЭС».</w:t>
      </w:r>
    </w:p>
    <w:p>
      <w:pPr>
        <w:pStyle w:val="Heading4"/>
        <w:rPr>
          <w:bCs w:val="false"/>
          <w:lang w:val="ru-RU"/>
        </w:rPr>
      </w:pPr>
      <w:r>
        <w:rPr>
          <w:bCs w:val="false"/>
          <w:lang w:val="ru-RU"/>
        </w:rPr>
        <w:t xml:space="preserve">1.3. </w:t>
      </w:r>
      <w:bookmarkStart w:id="2" w:name="_Toc75446569"/>
      <w:bookmarkStart w:id="3" w:name="_Toc46743507"/>
      <w:r>
        <w:rPr>
          <w:bCs w:val="false"/>
          <w:lang w:val="ru-RU"/>
        </w:rPr>
        <w:t xml:space="preserve">Цель </w:t>
      </w:r>
      <w:bookmarkEnd w:id="3"/>
      <w:r>
        <w:rPr>
          <w:bCs w:val="false"/>
          <w:lang w:val="ru-RU"/>
        </w:rPr>
        <w:t xml:space="preserve">использования закупаемой продукции </w:t>
      </w:r>
      <w:bookmarkEnd w:id="2"/>
    </w:p>
    <w:p>
      <w:pPr>
        <w:pStyle w:val="Normal"/>
        <w:spacing w:before="60" w:after="0"/>
        <w:ind w:firstLine="567"/>
        <w:rPr/>
      </w:pPr>
      <w:r>
        <w:rPr>
          <w:rFonts w:eastAsia="Calibri"/>
          <w:color w:val="000000" w:themeColor="text1"/>
          <w:sz w:val="24"/>
          <w:szCs w:val="24"/>
        </w:rPr>
        <w:t>Продукция закупается с целью обслуживания действующего оборудования Филиала.</w:t>
      </w:r>
    </w:p>
    <w:p>
      <w:pPr>
        <w:pStyle w:val="Heading4"/>
        <w:spacing w:before="180" w:after="60"/>
        <w:ind w:start="0" w:hanging="0"/>
        <w:rPr/>
      </w:pPr>
      <w:r>
        <w:rPr>
          <w:sz w:val="28"/>
          <w:szCs w:val="28"/>
        </w:rPr>
        <w:t xml:space="preserve">2. </w:t>
      </w:r>
      <w:bookmarkStart w:id="4" w:name="_Toc75446573"/>
      <w:bookmarkStart w:id="5" w:name="_Toc51339693"/>
      <w:r>
        <w:rPr>
          <w:sz w:val="28"/>
          <w:szCs w:val="28"/>
        </w:rPr>
        <w:t xml:space="preserve">Требования к </w:t>
      </w:r>
      <w:bookmarkEnd w:id="4"/>
      <w:bookmarkEnd w:id="5"/>
      <w:r>
        <w:rPr>
          <w:sz w:val="28"/>
          <w:szCs w:val="28"/>
        </w:rPr>
        <w:t>продукции</w:t>
      </w:r>
    </w:p>
    <w:p>
      <w:pPr>
        <w:pStyle w:val="Heading4"/>
        <w:ind w:start="716" w:hanging="0"/>
        <w:rPr/>
      </w:pPr>
      <w:r>
        <w:rPr/>
        <w:t xml:space="preserve">2.1. </w:t>
      </w:r>
      <w:bookmarkStart w:id="6" w:name="_Toc75446574"/>
      <w:r>
        <w:rPr/>
        <w:t xml:space="preserve">Требования к объемам и срокам </w:t>
      </w:r>
      <w:r>
        <w:rPr>
          <w:lang w:val="ru-RU"/>
        </w:rPr>
        <w:t>поставки</w:t>
      </w:r>
      <w:bookmarkEnd w:id="6"/>
    </w:p>
    <w:p>
      <w:pPr>
        <w:pStyle w:val="Heading3"/>
        <w:ind w:start="1224" w:hanging="0"/>
        <w:rPr/>
      </w:pPr>
      <w:r>
        <w:rPr>
          <w:lang w:val="ru-RU"/>
        </w:rPr>
        <w:t xml:space="preserve">2.1.1. </w:t>
      </w:r>
      <w:bookmarkStart w:id="7" w:name="_Toc75446575"/>
      <w:r>
        <w:rPr>
          <w:lang w:val="ru-RU"/>
        </w:rPr>
        <w:t>Перечень и объем закупаем</w:t>
      </w:r>
      <w:bookmarkEnd w:id="7"/>
      <w:r>
        <w:rPr>
          <w:lang w:val="ru-RU"/>
        </w:rPr>
        <w:t>ой продукции.</w:t>
      </w:r>
    </w:p>
    <w:p>
      <w:pPr>
        <w:pStyle w:val="Normal"/>
        <w:keepNext w:val="true"/>
        <w:keepLines/>
        <w:numPr>
          <w:ilvl w:val="0"/>
          <w:numId w:val="0"/>
        </w:numPr>
        <w:spacing w:before="120" w:after="60"/>
        <w:ind w:start="0" w:hanging="0"/>
        <w:outlineLvl w:val="0"/>
        <w:rPr>
          <w:rFonts w:eastAsia="Calibri"/>
          <w:b/>
          <w:sz w:val="24"/>
          <w:szCs w:val="24"/>
          <w:lang w:eastAsia="x-none"/>
        </w:rPr>
      </w:pPr>
      <w:bookmarkStart w:id="8" w:name="_Toc122705682"/>
      <w:bookmarkStart w:id="9" w:name="_Toc75446576"/>
      <w:bookmarkStart w:id="10" w:name="_Toc51339695"/>
      <w:bookmarkEnd w:id="8"/>
      <w:bookmarkEnd w:id="9"/>
      <w:bookmarkEnd w:id="10"/>
      <w:r>
        <w:rPr>
          <w:rFonts w:eastAsia="Calibri"/>
          <w:b/>
          <w:sz w:val="24"/>
          <w:szCs w:val="24"/>
          <w:lang w:val="x-none" w:eastAsia="x-none"/>
        </w:rPr>
        <w:t xml:space="preserve">Таблица </w:t>
      </w:r>
      <w:r>
        <w:rPr>
          <w:rFonts w:eastAsia="Calibri"/>
          <w:b/>
          <w:sz w:val="24"/>
          <w:szCs w:val="24"/>
          <w:lang w:eastAsia="x-none"/>
        </w:rPr>
        <w:t>1.</w:t>
      </w:r>
      <w:r>
        <w:rPr>
          <w:rFonts w:eastAsia="Calibri"/>
          <w:b/>
          <w:sz w:val="24"/>
          <w:szCs w:val="24"/>
          <w:lang w:val="x-none" w:eastAsia="x-none"/>
        </w:rPr>
        <w:t xml:space="preserve"> </w:t>
      </w:r>
      <w:r>
        <w:rPr>
          <w:rFonts w:eastAsia="Calibri"/>
          <w:b/>
          <w:sz w:val="24"/>
          <w:szCs w:val="24"/>
          <w:lang w:eastAsia="x-none"/>
        </w:rPr>
        <w:t>Перечень и объем закупаемой продукции</w:t>
      </w:r>
    </w:p>
    <w:tbl>
      <w:tblPr>
        <w:tblW w:w="10206" w:type="dxa"/>
        <w:jc w:val="start"/>
        <w:tblInd w:w="-5" w:type="dxa"/>
        <w:tblLayout w:type="fixed"/>
        <w:tblCellMar>
          <w:top w:w="28" w:type="dxa"/>
          <w:start w:w="108" w:type="dxa"/>
          <w:bottom w:w="28" w:type="dxa"/>
          <w:end w:w="108" w:type="dxa"/>
        </w:tblCellMar>
        <w:tblLook w:val="04a0" w:noHBand="0" w:noVBand="1" w:firstColumn="1" w:lastRow="0" w:lastColumn="0" w:firstRow="1"/>
      </w:tblPr>
      <w:tblGrid>
        <w:gridCol w:w="563"/>
        <w:gridCol w:w="2548"/>
        <w:gridCol w:w="3267"/>
        <w:gridCol w:w="716"/>
        <w:gridCol w:w="992"/>
        <w:gridCol w:w="2119"/>
      </w:tblGrid>
      <w:tr>
        <w:trPr/>
        <w:tc>
          <w:tcPr>
            <w:tcW w:w="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35"/>
              <w:keepNext w:val="true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Style35"/>
              <w:keepNext w:val="true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5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35"/>
              <w:keepNext w:val="true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продукции</w:t>
            </w:r>
          </w:p>
        </w:tc>
        <w:tc>
          <w:tcPr>
            <w:tcW w:w="32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Марка, тип</w:t>
            </w:r>
          </w:p>
        </w:tc>
        <w:tc>
          <w:tcPr>
            <w:tcW w:w="7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35"/>
              <w:keepNext w:val="true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35"/>
              <w:keepNext w:val="true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21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35"/>
              <w:keepNext w:val="true"/>
              <w:widowControl w:val="false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Применение законодательства о национальном режиме (ст.3.1-4 Закона 223-ФЗ, ПП 1875)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2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1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35"/>
              <w:widowControl w:val="false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25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Бензин- растворитель</w:t>
            </w:r>
          </w:p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ОКПД2 19.20.23.120 </w:t>
            </w:r>
          </w:p>
        </w:tc>
        <w:tc>
          <w:tcPr>
            <w:tcW w:w="32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Нефрас-С2-80/120 высший сорт по ТУ 38.401-67-108-92</w:t>
            </w:r>
          </w:p>
        </w:tc>
        <w:tc>
          <w:tcPr>
            <w:tcW w:w="71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tcMar>
              <w:top w:w="0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99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tcMar>
              <w:top w:w="0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11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Установлено преимущество в отношении товаров российского происхождения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25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Масло турбинное</w:t>
            </w:r>
          </w:p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x-none"/>
              </w:rPr>
              <w:t>ОКПД2 19.20.29.160</w:t>
            </w:r>
          </w:p>
        </w:tc>
        <w:tc>
          <w:tcPr>
            <w:tcW w:w="32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Тп-30, ГОСТ 9972 Газпромнефть г.Омск*</w:t>
            </w:r>
          </w:p>
        </w:tc>
        <w:tc>
          <w:tcPr>
            <w:tcW w:w="71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tcMar>
              <w:top w:w="0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9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tcMar>
              <w:top w:w="0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14,268</w:t>
            </w:r>
          </w:p>
        </w:tc>
        <w:tc>
          <w:tcPr>
            <w:tcW w:w="211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Установлено преимущество в отношении товаров российского происхождения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3.</w:t>
            </w:r>
          </w:p>
        </w:tc>
        <w:tc>
          <w:tcPr>
            <w:tcW w:w="25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Керосин авиационный </w:t>
            </w:r>
          </w:p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ОКПД2 19.20.24.110 </w:t>
            </w:r>
          </w:p>
        </w:tc>
        <w:tc>
          <w:tcPr>
            <w:tcW w:w="32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ТС-1</w:t>
            </w:r>
          </w:p>
        </w:tc>
        <w:tc>
          <w:tcPr>
            <w:tcW w:w="71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tcMar>
              <w:top w:w="0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99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tcMar>
              <w:top w:w="0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11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Установлено преимущество в отношении товаров российского происхождения</w:t>
            </w:r>
          </w:p>
        </w:tc>
      </w:tr>
      <w:tr>
        <w:trPr/>
        <w:tc>
          <w:tcPr>
            <w:tcW w:w="10205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i/>
                <w:i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*Поставка эквивалентов не допускается, т.к. турбинное масло Тп-30 будет использоваться во взаимодействии с турбинным маслом, уже используемым в маслосистемах гидроагрегатов. В соответствии с требованием завода-изготовителя гидроагрегатов – АО «Силовые машины», необходимо применять масло производства Газпромнефть г.Омск. Применение масла Тп-30 другого производителя приведет к непредсказуемым химическим реакциям, что неминуемо повлечет за собой выход из строя основного оборудования ГЭС</w:t>
            </w:r>
          </w:p>
        </w:tc>
      </w:tr>
    </w:tbl>
    <w:p>
      <w:pPr>
        <w:pStyle w:val="Normal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</w:r>
      <w:bookmarkStart w:id="11" w:name="_Toc122705682_Копия_1"/>
      <w:bookmarkStart w:id="12" w:name="_Toc75446576_Копия_1"/>
      <w:bookmarkStart w:id="13" w:name="_Toc51339695_Копия_1"/>
      <w:bookmarkStart w:id="14" w:name="_Toc122705682_Копия_1"/>
      <w:bookmarkStart w:id="15" w:name="_Toc75446576_Копия_1"/>
      <w:bookmarkStart w:id="16" w:name="_Toc51339695_Копия_1"/>
      <w:bookmarkEnd w:id="14"/>
      <w:bookmarkEnd w:id="15"/>
      <w:bookmarkEnd w:id="16"/>
      <w:r>
        <w:br w:type="page"/>
      </w:r>
    </w:p>
    <w:p>
      <w:pPr>
        <w:pStyle w:val="Heading3"/>
        <w:spacing w:before="240" w:after="60"/>
        <w:ind w:start="1225" w:hanging="0"/>
        <w:rPr>
          <w:lang w:val="ru-RU"/>
        </w:rPr>
      </w:pPr>
      <w:bookmarkStart w:id="17" w:name="_Toc75446579"/>
      <w:bookmarkStart w:id="18" w:name="_Toc51339697"/>
      <w:bookmarkStart w:id="19" w:name="_Toc50125127"/>
      <w:r>
        <w:rPr>
          <w:lang w:val="ru-RU"/>
        </w:rPr>
        <w:t xml:space="preserve">2.1.2 </w:t>
      </w:r>
      <w:bookmarkStart w:id="20" w:name="_Hlk50465284"/>
      <w:r>
        <w:rPr>
          <w:lang w:val="ru-RU"/>
        </w:rPr>
        <w:t xml:space="preserve">Требования по срокам </w:t>
      </w:r>
      <w:bookmarkEnd w:id="18"/>
      <w:bookmarkEnd w:id="19"/>
      <w:bookmarkEnd w:id="20"/>
      <w:r>
        <w:rPr>
          <w:lang w:val="ru-RU"/>
        </w:rPr>
        <w:t xml:space="preserve">поставки </w:t>
      </w:r>
      <w:bookmarkEnd w:id="17"/>
      <w:r>
        <w:rPr>
          <w:lang w:val="ru-RU"/>
        </w:rPr>
        <w:t xml:space="preserve">продукции </w:t>
      </w:r>
    </w:p>
    <w:p>
      <w:pPr>
        <w:pStyle w:val="Normal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Начало поставки продукции:</w:t>
      </w:r>
      <w:r>
        <w:rPr>
          <w:i/>
          <w:sz w:val="24"/>
          <w:szCs w:val="24"/>
          <w:lang w:eastAsia="x-none"/>
        </w:rPr>
        <w:t xml:space="preserve"> со дня, следующего за днем заключения Договора</w:t>
      </w:r>
    </w:p>
    <w:p>
      <w:pPr>
        <w:pStyle w:val="Normal"/>
        <w:jc w:val="both"/>
        <w:rPr>
          <w:i/>
          <w:i/>
          <w:sz w:val="24"/>
          <w:szCs w:val="24"/>
          <w:lang w:eastAsia="x-none"/>
        </w:rPr>
      </w:pPr>
      <w:r>
        <w:rPr>
          <w:sz w:val="24"/>
          <w:szCs w:val="24"/>
        </w:rPr>
        <w:t xml:space="preserve">Окончание поставки продукции: </w:t>
      </w:r>
      <w:r>
        <w:rPr>
          <w:i/>
          <w:sz w:val="24"/>
          <w:szCs w:val="24"/>
          <w:lang w:eastAsia="x-none"/>
        </w:rPr>
        <w:t>в течение 61 календарного дня со дня, следующего за днем заключения Договора</w:t>
      </w:r>
    </w:p>
    <w:p>
      <w:pPr>
        <w:pStyle w:val="Normal"/>
        <w:shd w:val="clear" w:color="auto" w:fill="FFFFFF" w:themeFill="background1"/>
        <w:jc w:val="both"/>
        <w:rPr>
          <w:sz w:val="24"/>
          <w:szCs w:val="24"/>
        </w:rPr>
      </w:pPr>
      <w:r>
        <w:rPr>
          <w:sz w:val="24"/>
          <w:szCs w:val="24"/>
        </w:rPr>
        <w:t>Поставка продукции осуществляется в один этап</w:t>
      </w:r>
      <w:r>
        <w:rPr>
          <w:sz w:val="24"/>
          <w:szCs w:val="24"/>
          <w:lang w:eastAsia="x-none"/>
        </w:rPr>
        <w:t xml:space="preserve"> в рамках вышеуказанных сроков</w:t>
      </w:r>
      <w:r>
        <w:rPr>
          <w:sz w:val="24"/>
          <w:szCs w:val="24"/>
        </w:rPr>
        <w:t>.</w:t>
      </w:r>
    </w:p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707" w:gutter="0" w:header="680" w:top="1134" w:footer="0" w:bottom="709"/>
          <w:pgNumType w:fmt="decimal"/>
          <w:formProt w:val="false"/>
          <w:titlePg/>
          <w:textDirection w:val="lrTb"/>
          <w:docGrid w:type="default" w:linePitch="360" w:charSpace="0"/>
        </w:sectPr>
        <w:pStyle w:val="Normal"/>
        <w:shd w:val="clear" w:color="auto" w:fill="FFFFFF" w:themeFill="background1"/>
        <w:jc w:val="both"/>
        <w:rPr/>
      </w:pPr>
      <w:r>
        <w:rPr>
          <w:sz w:val="24"/>
          <w:szCs w:val="24"/>
          <w:lang w:eastAsia="x-none"/>
        </w:rPr>
        <w:t xml:space="preserve">Возможна поставка масла турбинного Тп-30 несколькими производственными партиями (но не более 2 (двух).    </w:t>
      </w:r>
    </w:p>
    <w:p>
      <w:pPr>
        <w:pStyle w:val="Heading4"/>
        <w:ind w:start="716" w:hanging="0"/>
        <w:rPr>
          <w:lang w:val="ru-RU"/>
        </w:rPr>
      </w:pPr>
      <w:r>
        <w:rPr/>
        <w:t xml:space="preserve">2.2.   </w:t>
      </w:r>
      <w:bookmarkStart w:id="21" w:name="_Toc50125131"/>
      <w:bookmarkStart w:id="22" w:name="_Toc51339698"/>
      <w:bookmarkStart w:id="23" w:name="_Toc75446581"/>
      <w:bookmarkStart w:id="24" w:name="_Toc46743511"/>
      <w:r>
        <w:rPr/>
        <w:t xml:space="preserve">Требования к </w:t>
      </w:r>
      <w:bookmarkEnd w:id="24"/>
      <w:r>
        <w:rPr>
          <w:lang w:val="ru-RU"/>
        </w:rPr>
        <w:t xml:space="preserve">качеству </w:t>
      </w:r>
      <w:bookmarkEnd w:id="23"/>
      <w:r>
        <w:rPr>
          <w:lang w:val="ru-RU"/>
        </w:rPr>
        <w:t>продукции</w:t>
      </w:r>
    </w:p>
    <w:p>
      <w:pPr>
        <w:pStyle w:val="Heading1"/>
        <w:keepLines/>
        <w:tabs>
          <w:tab w:val="clear" w:pos="0"/>
        </w:tabs>
        <w:spacing w:before="240" w:after="60"/>
        <w:ind w:start="0" w:hanging="0"/>
        <w:rPr>
          <w:rStyle w:val="Style8"/>
          <w:b/>
          <w:i w:val="false"/>
          <w:i w:val="false"/>
          <w:sz w:val="24"/>
          <w:szCs w:val="24"/>
          <w:shd w:fill="auto" w:val="clear"/>
        </w:rPr>
      </w:pPr>
      <w:r>
        <w:rPr>
          <w:sz w:val="24"/>
          <w:szCs w:val="24"/>
        </w:rPr>
        <w:t xml:space="preserve"> </w:t>
      </w:r>
      <w:bookmarkStart w:id="25" w:name="_Toc75446582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 xml:space="preserve">. Требования к </w:t>
      </w:r>
      <w:bookmarkEnd w:id="21"/>
      <w:bookmarkEnd w:id="22"/>
      <w:bookmarkEnd w:id="25"/>
      <w:r>
        <w:rPr>
          <w:sz w:val="24"/>
          <w:szCs w:val="24"/>
          <w:lang w:val="ru-RU"/>
        </w:rPr>
        <w:t>продукции</w:t>
      </w:r>
    </w:p>
    <w:tbl>
      <w:tblPr>
        <w:tblStyle w:val="affff9"/>
        <w:tblW w:w="15001" w:type="dxa"/>
        <w:jc w:val="start"/>
        <w:tblInd w:w="5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796"/>
        <w:gridCol w:w="2835"/>
        <w:gridCol w:w="4958"/>
        <w:gridCol w:w="2127"/>
        <w:gridCol w:w="2267"/>
        <w:gridCol w:w="2017"/>
      </w:tblGrid>
      <w:tr>
        <w:trPr>
          <w:tblHeader w:val="true"/>
        </w:trPr>
        <w:tc>
          <w:tcPr>
            <w:tcW w:w="796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2835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4958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Требование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en-US" w:eastAsia="ru-RU" w:bidi="ar-SA"/>
              </w:rPr>
              <w:t>З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аказчика</w:t>
            </w:r>
          </w:p>
        </w:tc>
        <w:tc>
          <w:tcPr>
            <w:tcW w:w="43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01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start="-114" w:end="-83" w:hanging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>
          <w:tblHeader w:val="true"/>
        </w:trPr>
        <w:tc>
          <w:tcPr>
            <w:tcW w:w="796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star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835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star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95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star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12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26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01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star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blHeader w:val="true"/>
        </w:trPr>
        <w:tc>
          <w:tcPr>
            <w:tcW w:w="7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rFonts w:eastAsia="Calibri"/>
                <w:sz w:val="24"/>
                <w:szCs w:val="24"/>
                <w:lang w:eastAsia="x-none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283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495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212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26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20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</w:tr>
      <w:tr>
        <w:trPr/>
        <w:tc>
          <w:tcPr>
            <w:tcW w:w="79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contextualSpacing/>
              <w:jc w:val="center"/>
              <w:rPr>
                <w:lang w:eastAsia="x-none"/>
              </w:rPr>
            </w:pPr>
            <w:r>
              <w:rPr>
                <w:lang w:eastAsia="x-none"/>
              </w:rPr>
            </w:r>
          </w:p>
        </w:tc>
        <w:tc>
          <w:tcPr>
            <w:tcW w:w="779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star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2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0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>
          <w:trHeight w:val="607" w:hRule="atLeast"/>
        </w:trPr>
        <w:tc>
          <w:tcPr>
            <w:tcW w:w="796" w:type="dxa"/>
            <w:tcBorders/>
            <w:shd w:color="auto" w:fill="FFFFFF" w:themeFill="background1" w:val="clea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start="-117" w:firstLine="142"/>
              <w:contextualSpacing/>
              <w:jc w:val="center"/>
              <w:rPr>
                <w:lang w:eastAsia="x-none"/>
              </w:rPr>
            </w:pPr>
            <w:r>
              <w:rPr>
                <w:lang w:eastAsia="x-none"/>
              </w:rPr>
            </w:r>
          </w:p>
        </w:tc>
        <w:tc>
          <w:tcPr>
            <w:tcW w:w="283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Бензин- растворитель </w:t>
            </w:r>
          </w:p>
        </w:tc>
        <w:tc>
          <w:tcPr>
            <w:tcW w:w="495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Нефрас-С2-80/120 высший сорт по ТУ 38.401-67-108-92</w:t>
            </w:r>
          </w:p>
        </w:tc>
        <w:tc>
          <w:tcPr>
            <w:tcW w:w="2127" w:type="dxa"/>
            <w:tcBorders/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6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-</w:t>
            </w:r>
          </w:p>
        </w:tc>
        <w:tc>
          <w:tcPr>
            <w:tcW w:w="201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50" w:hRule="atLeast"/>
        </w:trPr>
        <w:tc>
          <w:tcPr>
            <w:tcW w:w="796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start="-117" w:firstLine="142"/>
              <w:contextualSpacing/>
              <w:jc w:val="center"/>
              <w:rPr>
                <w:lang w:eastAsia="x-none"/>
              </w:rPr>
            </w:pPr>
            <w:r>
              <w:rPr>
                <w:lang w:eastAsia="x-none"/>
              </w:rPr>
            </w:r>
          </w:p>
        </w:tc>
        <w:tc>
          <w:tcPr>
            <w:tcW w:w="283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Масло турбинное</w:t>
            </w:r>
          </w:p>
        </w:tc>
        <w:tc>
          <w:tcPr>
            <w:tcW w:w="4958" w:type="dxa"/>
            <w:tcBorders>
              <w:star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Марка: Тп-30 (модернизированная рецептура) ГОСТ 9972, пр-ва Газпромнефть, г.Омск.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В масле должны отсутствовать цинкосодержащая присадка (Zn free) и Дипроксамин.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-</w:t>
            </w:r>
          </w:p>
        </w:tc>
        <w:tc>
          <w:tcPr>
            <w:tcW w:w="20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50" w:hRule="atLeast"/>
        </w:trPr>
        <w:tc>
          <w:tcPr>
            <w:tcW w:w="796" w:type="dxa"/>
            <w:tcBorders/>
            <w:shd w:color="auto" w:fill="FFFFFF" w:themeFill="background1" w:val="clea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start="-117" w:firstLine="142"/>
              <w:contextualSpacing/>
              <w:jc w:val="center"/>
              <w:rPr>
                <w:lang w:eastAsia="x-none"/>
              </w:rPr>
            </w:pPr>
            <w:r>
              <w:rPr>
                <w:lang w:eastAsia="x-none"/>
              </w:rPr>
            </w:r>
          </w:p>
        </w:tc>
        <w:tc>
          <w:tcPr>
            <w:tcW w:w="283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star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Керосин авиационный </w:t>
            </w:r>
          </w:p>
        </w:tc>
        <w:tc>
          <w:tcPr>
            <w:tcW w:w="4958" w:type="dxa"/>
            <w:tcBorders>
              <w:start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star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ТС-1</w:t>
            </w:r>
          </w:p>
        </w:tc>
        <w:tc>
          <w:tcPr>
            <w:tcW w:w="2127" w:type="dxa"/>
            <w:tcBorders/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6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-</w:t>
            </w:r>
          </w:p>
        </w:tc>
        <w:tc>
          <w:tcPr>
            <w:tcW w:w="201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96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contextualSpacing/>
              <w:jc w:val="center"/>
              <w:rPr>
                <w:lang w:eastAsia="x-none"/>
              </w:rPr>
            </w:pPr>
            <w:r>
              <w:rPr>
                <w:lang w:eastAsia="x-none"/>
              </w:rPr>
            </w:r>
          </w:p>
        </w:tc>
        <w:tc>
          <w:tcPr>
            <w:tcW w:w="779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start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Требования к доставке,  упаковке, транспортировке, перемещению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2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0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>
          <w:trHeight w:val="1200" w:hRule="atLeast"/>
        </w:trPr>
        <w:tc>
          <w:tcPr>
            <w:tcW w:w="796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start="-117" w:firstLine="142"/>
              <w:contextualSpacing/>
              <w:jc w:val="center"/>
              <w:rPr>
                <w:lang w:eastAsia="x-none"/>
              </w:rPr>
            </w:pPr>
            <w:r>
              <w:rPr>
                <w:lang w:eastAsia="x-none"/>
              </w:rPr>
            </w:r>
          </w:p>
        </w:tc>
        <w:tc>
          <w:tcPr>
            <w:tcW w:w="283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star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Место поставки продукции</w:t>
            </w:r>
          </w:p>
        </w:tc>
        <w:tc>
          <w:tcPr>
            <w:tcW w:w="49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Доставка продукции осуществляется до склада Заказчика по адресу: РФ, 617760 Пермский край, Чайковский городской округ, г. Чайковский, территория Воткинской ГЭС, д. 1/2.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67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start="0" w:hanging="0"/>
              <w:jc w:val="start"/>
              <w:outlineLvl w:val="2"/>
              <w:rPr>
                <w:rFonts w:eastAsia="Times New Roman"/>
                <w:b w:val="false"/>
                <w:lang w:val="en-US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en-US" w:eastAsia="ru-RU" w:bidi="ar-SA"/>
              </w:rPr>
              <w:t>-</w:t>
            </w:r>
          </w:p>
        </w:tc>
        <w:tc>
          <w:tcPr>
            <w:tcW w:w="20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start"/>
              <w:rPr>
                <w:rFonts w:eastAsia="Calibri"/>
                <w:sz w:val="24"/>
                <w:szCs w:val="24"/>
                <w:lang w:eastAsia="x-none"/>
              </w:rPr>
            </w:pPr>
            <w:r>
              <w:rPr>
                <w:rFonts w:eastAsia="Calibri"/>
                <w:sz w:val="24"/>
                <w:szCs w:val="24"/>
                <w:lang w:eastAsia="x-none"/>
              </w:rPr>
            </w:r>
          </w:p>
        </w:tc>
      </w:tr>
      <w:tr>
        <w:trPr/>
        <w:tc>
          <w:tcPr>
            <w:tcW w:w="796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start="-117" w:firstLine="142"/>
              <w:contextualSpacing/>
              <w:jc w:val="center"/>
              <w:rPr>
                <w:lang w:eastAsia="x-none"/>
              </w:rPr>
            </w:pPr>
            <w:r>
              <w:rPr>
                <w:lang w:eastAsia="x-none"/>
              </w:rPr>
            </w:r>
          </w:p>
        </w:tc>
        <w:tc>
          <w:tcPr>
            <w:tcW w:w="283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star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Условия поставки</w:t>
            </w:r>
          </w:p>
        </w:tc>
        <w:tc>
          <w:tcPr>
            <w:tcW w:w="49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Доставка продукции Заказчику осуществляется силами, средствами и за счет Поставщика в рабочее время с 9-00 до 15-00 часов в срок, указанный в подразделе 2.1.2 настоящих ТТ.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Продукция без обязательных сопроводительных документов (Товарная накладная или УПД, паспорт, сертификат) не принимается, ответственность за ее сохранность Заказчик не несет.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Дата, время доставки продукции, государственный № транспорта, ФИО сотрудников Поставщика в обязательном порядке должны быть согласованы в письменном виде с ответственным сотрудником Заказчика не позднее 12-00 часов дня по московскому времени, предшествующего дню поставки.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  <w:highlight w:val="yellow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6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-</w:t>
            </w:r>
          </w:p>
        </w:tc>
        <w:tc>
          <w:tcPr>
            <w:tcW w:w="201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start"/>
              <w:rPr>
                <w:rFonts w:eastAsia="Calibri"/>
                <w:sz w:val="24"/>
                <w:szCs w:val="24"/>
                <w:lang w:eastAsia="x-none"/>
              </w:rPr>
            </w:pPr>
            <w:r>
              <w:rPr>
                <w:rFonts w:eastAsia="Calibri"/>
                <w:sz w:val="24"/>
                <w:szCs w:val="24"/>
                <w:lang w:eastAsia="x-none"/>
              </w:rPr>
            </w:r>
          </w:p>
        </w:tc>
      </w:tr>
      <w:tr>
        <w:trPr/>
        <w:tc>
          <w:tcPr>
            <w:tcW w:w="796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start="-117" w:firstLine="142"/>
              <w:contextualSpacing/>
              <w:jc w:val="center"/>
              <w:rPr>
                <w:lang w:eastAsia="x-none"/>
              </w:rPr>
            </w:pPr>
            <w:r>
              <w:rPr>
                <w:lang w:eastAsia="x-none"/>
              </w:rPr>
            </w:r>
          </w:p>
        </w:tc>
        <w:tc>
          <w:tcPr>
            <w:tcW w:w="283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star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Требования к упаковке</w:t>
            </w:r>
          </w:p>
        </w:tc>
        <w:tc>
          <w:tcPr>
            <w:tcW w:w="49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Продукция должна быть упакована в заводскую упаковку (тару), тара (упаковка) должна обеспечивать их защиту от загрязнения и обеспечивать сохранность при транспортировке. Упаковка (тара, бочка) не должна быть нарушена, вскрыта или повреждена.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1.</w:t>
            </w: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 Бензин-растворитель должен быть поставлен в уп</w:t>
            </w: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аковке заводского исполнения</w:t>
            </w: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 xml:space="preserve">2. Масло турбинное </w:t>
            </w: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 xml:space="preserve">должно быть поставлено в упаковке (бочке) заводского исполнения, </w:t>
            </w: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объемом 205л/174кг. </w:t>
            </w: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Упаковка (бочка) должна быть опломбирована и обеспечивать защиту продукции от загрязнения и ее сохранность при транспортировке.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3.</w:t>
            </w: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 Керосин авиационный должен быть поставлен в уп</w:t>
            </w: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 xml:space="preserve">аковке (канистре) заводского исполнения, </w:t>
            </w: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объемом не более 10 л.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6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-</w:t>
            </w:r>
          </w:p>
        </w:tc>
        <w:tc>
          <w:tcPr>
            <w:tcW w:w="201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start"/>
              <w:rPr>
                <w:rFonts w:eastAsia="Calibri"/>
                <w:sz w:val="24"/>
                <w:szCs w:val="24"/>
                <w:lang w:eastAsia="x-none"/>
              </w:rPr>
            </w:pPr>
            <w:r>
              <w:rPr>
                <w:rFonts w:eastAsia="Calibri"/>
                <w:sz w:val="24"/>
                <w:szCs w:val="24"/>
                <w:lang w:eastAsia="x-none"/>
              </w:rPr>
            </w:r>
          </w:p>
        </w:tc>
      </w:tr>
      <w:tr>
        <w:trPr/>
        <w:tc>
          <w:tcPr>
            <w:tcW w:w="796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contextualSpacing/>
              <w:jc w:val="center"/>
              <w:rPr>
                <w:lang w:eastAsia="x-none"/>
              </w:rPr>
            </w:pPr>
            <w:r>
              <w:rPr>
                <w:lang w:eastAsia="x-none"/>
              </w:rPr>
            </w:r>
          </w:p>
        </w:tc>
        <w:tc>
          <w:tcPr>
            <w:tcW w:w="779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start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before="2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267" w:type="dxa"/>
            <w:tcBorders/>
          </w:tcPr>
          <w:p>
            <w:pPr>
              <w:pStyle w:val="Normal"/>
              <w:widowControl w:val="false"/>
              <w:suppressAutoHyphens w:val="true"/>
              <w:spacing w:before="2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017" w:type="dxa"/>
            <w:tcBorders/>
          </w:tcPr>
          <w:p>
            <w:pPr>
              <w:pStyle w:val="Normal"/>
              <w:widowControl w:val="false"/>
              <w:suppressAutoHyphens w:val="true"/>
              <w:spacing w:before="2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96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start="-117" w:firstLine="142"/>
              <w:contextualSpacing/>
              <w:jc w:val="center"/>
              <w:rPr>
                <w:lang w:eastAsia="x-none"/>
              </w:rPr>
            </w:pPr>
            <w:r>
              <w:rPr>
                <w:lang w:eastAsia="x-none"/>
              </w:rPr>
            </w:r>
          </w:p>
        </w:tc>
        <w:tc>
          <w:tcPr>
            <w:tcW w:w="283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star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Срок гарантии</w:t>
            </w:r>
          </w:p>
        </w:tc>
        <w:tc>
          <w:tcPr>
            <w:tcW w:w="49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Гарантийный срок на продукцию должен соответствовать нормативно-техническим документам и исчисляться с даты подписания Заказчиком товарной накладной унифицированной формы ТОРГ-12 или УПД.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6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-</w:t>
            </w:r>
          </w:p>
        </w:tc>
        <w:tc>
          <w:tcPr>
            <w:tcW w:w="2017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start="0" w:hanging="0"/>
              <w:jc w:val="star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796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contextualSpacing/>
              <w:jc w:val="center"/>
              <w:rPr>
                <w:lang w:eastAsia="x-none"/>
              </w:rPr>
            </w:pPr>
            <w:r>
              <w:rPr>
                <w:lang w:eastAsia="x-none"/>
              </w:rPr>
            </w:r>
          </w:p>
        </w:tc>
        <w:tc>
          <w:tcPr>
            <w:tcW w:w="779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star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267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017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96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start="-117" w:firstLine="142"/>
              <w:contextualSpacing/>
              <w:jc w:val="center"/>
              <w:rPr>
                <w:lang w:eastAsia="x-none"/>
              </w:rPr>
            </w:pPr>
            <w:r>
              <w:rPr>
                <w:lang w:eastAsia="x-none"/>
              </w:rPr>
            </w:r>
          </w:p>
        </w:tc>
        <w:tc>
          <w:tcPr>
            <w:tcW w:w="283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star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Объем комплектации</w:t>
            </w:r>
          </w:p>
        </w:tc>
        <w:tc>
          <w:tcPr>
            <w:tcW w:w="49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Вместе с бензином-растворителем и керосином </w:t>
            </w: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должны быть предоставлены паспорта, сертификаты соответствия продукции от завода-изготовителя. Сертификаты соответствия должны быть выданы отраслевыми органами сертификации и заверены печатью Поставщика.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Вместе с маслом должен быть поставлен комплект документов: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Паспорт качества завода-изготовителя масла (в паспорте должна содержаться информация об изготовителе масла (а не только поставщика масла), номер и дата выработки партии масла у изготовителя;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Копия Свидетельства о государственной аккредитации испытательной лаборатории, подтвердившей соответствие качества производственной партии масла требованиям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нормативной документации (международной спецификации, международным или национальным стандартам, техническим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условиям);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- Паспорт безопасности от изготовителя масла, а также гигиенические характеристики масла.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en-US" w:eastAsia="ru-RU" w:bidi="ar-SA"/>
              </w:rPr>
              <w:t>Согласие с требованием</w:t>
            </w:r>
          </w:p>
        </w:tc>
        <w:tc>
          <w:tcPr>
            <w:tcW w:w="226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-</w:t>
            </w:r>
          </w:p>
        </w:tc>
        <w:tc>
          <w:tcPr>
            <w:tcW w:w="2017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start="0" w:hanging="0"/>
              <w:jc w:val="star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796" w:type="dxa"/>
            <w:tcBorders>
              <w:top w:val="nil"/>
            </w:tcBorders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start="-117" w:hanging="0"/>
              <w:contextualSpacing/>
              <w:jc w:val="center"/>
              <w:rPr>
                <w:b/>
                <w:bCs/>
                <w:lang w:eastAsia="x-none"/>
              </w:rPr>
            </w:pPr>
            <w:r>
              <w:rPr>
                <w:rFonts w:cs="Times New Roman"/>
                <w:b/>
                <w:bCs/>
                <w:kern w:val="0"/>
                <w:lang w:val="ru-RU" w:eastAsia="x-none" w:bidi="ar-SA"/>
              </w:rPr>
              <w:t>5.</w:t>
            </w:r>
          </w:p>
        </w:tc>
        <w:tc>
          <w:tcPr>
            <w:tcW w:w="7793" w:type="dxa"/>
            <w:gridSpan w:val="2"/>
            <w:tcBorders>
              <w:top w:val="nil"/>
            </w:tcBorders>
          </w:tcPr>
          <w:p>
            <w:pPr>
              <w:pStyle w:val="BodyText"/>
              <w:widowControl w:val="false"/>
              <w:suppressAutoHyphens w:val="true"/>
              <w:spacing w:before="0" w:after="0"/>
              <w:jc w:val="star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Прочие (дополнительные) требования к продукции</w:t>
            </w:r>
          </w:p>
        </w:tc>
        <w:tc>
          <w:tcPr>
            <w:tcW w:w="212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26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01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96" w:type="dxa"/>
            <w:tcBorders>
              <w:top w:val="nil"/>
            </w:tcBorders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start="-117" w:hanging="0"/>
              <w:contextualSpacing/>
              <w:jc w:val="center"/>
              <w:rPr>
                <w:lang w:eastAsia="x-none"/>
              </w:rPr>
            </w:pPr>
            <w:r>
              <w:rPr>
                <w:rFonts w:cs="Times New Roman"/>
                <w:kern w:val="0"/>
                <w:lang w:val="ru-RU" w:eastAsia="x-none" w:bidi="ar-SA"/>
              </w:rPr>
              <w:t>5.1</w:t>
            </w:r>
          </w:p>
        </w:tc>
        <w:tc>
          <w:tcPr>
            <w:tcW w:w="28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star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Требование к дате изготовления</w:t>
            </w:r>
          </w:p>
        </w:tc>
        <w:tc>
          <w:tcPr>
            <w:tcW w:w="4958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2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Масло турбинное Тп-30 должно быть изготовлено не ранее 2026 года.</w:t>
            </w:r>
          </w:p>
        </w:tc>
        <w:tc>
          <w:tcPr>
            <w:tcW w:w="212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en-US" w:eastAsia="ru-RU" w:bidi="ar-SA"/>
              </w:rPr>
              <w:t>Согласие с требованием</w:t>
            </w:r>
          </w:p>
        </w:tc>
        <w:tc>
          <w:tcPr>
            <w:tcW w:w="226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4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017" w:type="dxa"/>
            <w:tcBorders>
              <w:top w:val="nil"/>
            </w:tcBorders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start="0" w:hanging="0"/>
              <w:jc w:val="star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796" w:type="dxa"/>
            <w:tcBorders>
              <w:top w:val="nil"/>
            </w:tcBorders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start="-117" w:hanging="0"/>
              <w:contextualSpacing/>
              <w:jc w:val="center"/>
              <w:rPr>
                <w:lang w:val="en-US" w:eastAsia="x-none"/>
              </w:rPr>
            </w:pPr>
            <w:r>
              <w:rPr>
                <w:rFonts w:cs="Times New Roman"/>
                <w:kern w:val="0"/>
                <w:lang w:val="en-US" w:eastAsia="x-none" w:bidi="ar-SA"/>
              </w:rPr>
              <w:t>5.2</w:t>
            </w:r>
          </w:p>
        </w:tc>
        <w:tc>
          <w:tcPr>
            <w:tcW w:w="28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Требования к происхождению поставляемой продукции</w:t>
            </w:r>
          </w:p>
        </w:tc>
        <w:tc>
          <w:tcPr>
            <w:tcW w:w="4958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2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В соответствии с нормами Постановления Правительства РФ от 23.12.2024 №1875 при проведении настоящей закупки устанавливается </w:t>
            </w:r>
            <w:r>
              <w:rPr>
                <w:rFonts w:eastAsia="Times New Roman" w:cs="Times New Roman"/>
                <w:b/>
                <w:i/>
                <w:iCs/>
                <w:kern w:val="0"/>
                <w:sz w:val="24"/>
                <w:szCs w:val="24"/>
                <w:lang w:val="ru-RU" w:eastAsia="ru-RU" w:bidi="ar-SA"/>
              </w:rPr>
              <w:t>преимущество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b/>
                <w:i/>
                <w:iCs/>
                <w:kern w:val="0"/>
                <w:sz w:val="24"/>
                <w:szCs w:val="24"/>
                <w:lang w:val="ru-RU" w:eastAsia="ru-RU" w:bidi="ar-SA"/>
              </w:rPr>
              <w:t>в отношении товаров российского  происхождения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212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  <w:lang w:val="en-US"/>
              </w:rPr>
            </w:pPr>
            <w:r>
              <w:rPr>
                <w:rFonts w:eastAsia="Symbol" w:cs="Symbol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6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start="0" w:end="0" w:hanging="0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18"/>
                <w:szCs w:val="18"/>
                <w:lang w:val="ru-RU" w:eastAsia="ru-RU" w:bidi="ar-SA"/>
              </w:rPr>
              <w:t xml:space="preserve">Документы и информацию, подтверждающие страну происхождения товара в соответствии с требованиями Постановления Правительства Российской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 (далее - Постановление № 1875) или гарантийное письмо (в соответствие с разъяснением Министерства Финансов РФ от 31.01.2025 №24-01-06/8697) о представлении поставщиком информации и документов, подтверждающих страну происхождения товара в соответствии с требованиями Постановления № 1875 до момента поставки товара заказчику (указанные требования должны быть отражены в </w:t>
            </w:r>
            <w:bookmarkStart w:id="26" w:name="_GoBack_Копия_1"/>
            <w:bookmarkEnd w:id="26"/>
            <w:r>
              <w:rPr>
                <w:rFonts w:eastAsia="Times New Roman" w:cs="Times New Roman"/>
                <w:i/>
                <w:iCs/>
                <w:kern w:val="0"/>
                <w:sz w:val="18"/>
                <w:szCs w:val="18"/>
                <w:lang w:val="ru-RU" w:eastAsia="ru-RU" w:bidi="ar-SA"/>
              </w:rPr>
              <w:t>гарантийном письме)</w:t>
            </w:r>
          </w:p>
        </w:tc>
        <w:tc>
          <w:tcPr>
            <w:tcW w:w="2017" w:type="dxa"/>
            <w:tcBorders>
              <w:top w:val="nil"/>
            </w:tcBorders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start="0" w:hanging="0"/>
              <w:jc w:val="star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</w:tbl>
    <w:p>
      <w:pPr>
        <w:sectPr>
          <w:headerReference w:type="default" r:id="rId5"/>
          <w:headerReference w:type="first" r:id="rId6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Standard"/>
        <w:spacing w:before="0" w:after="60"/>
        <w:jc w:val="both"/>
        <w:rPr/>
      </w:pPr>
      <w:r>
        <w:rPr>
          <w:b/>
          <w:iCs/>
          <w:sz w:val="24"/>
          <w:szCs w:val="24"/>
        </w:rPr>
        <w:t>2.2.1. В составе заявки необходимо предоставить:</w:t>
      </w:r>
    </w:p>
    <w:p>
      <w:pPr>
        <w:pStyle w:val="Standard"/>
        <w:spacing w:before="0" w:after="60"/>
        <w:jc w:val="both"/>
        <w:rPr/>
      </w:pPr>
      <w:r>
        <w:rPr>
          <w:iCs/>
          <w:sz w:val="24"/>
          <w:szCs w:val="24"/>
        </w:rPr>
        <w:t>Участник в составе своей заявки для подтверждения соответствия заявленных характеристик предлагаемой продукции требованиям настоящих ТТ, предоставляет следующие документы:</w:t>
      </w:r>
    </w:p>
    <w:p>
      <w:pPr>
        <w:pStyle w:val="Standard"/>
        <w:spacing w:before="0" w:after="60"/>
        <w:jc w:val="both"/>
        <w:rPr/>
      </w:pPr>
      <w:r>
        <w:rPr>
          <w:bCs/>
          <w:iCs/>
          <w:sz w:val="24"/>
          <w:szCs w:val="24"/>
          <w:lang w:eastAsia="x-none"/>
        </w:rPr>
        <w:t>- Техническое предложение по форме Таблицы 2 настоящих ТТ с заполненным столбцом 6 «Предложение Участника по характеристикам и параметрам».</w:t>
      </w:r>
    </w:p>
    <w:p>
      <w:pPr>
        <w:pStyle w:val="Heading4"/>
        <w:ind w:start="0" w:hanging="0"/>
        <w:rPr>
          <w:sz w:val="28"/>
          <w:szCs w:val="28"/>
        </w:rPr>
      </w:pPr>
      <w:r>
        <w:rPr/>
        <w:t>3.</w:t>
      </w:r>
      <w:r>
        <w:rPr>
          <w:sz w:val="28"/>
          <w:szCs w:val="28"/>
        </w:rPr>
        <w:t xml:space="preserve"> </w:t>
      </w:r>
      <w:bookmarkStart w:id="27" w:name="_Toc75446583"/>
      <w:bookmarkStart w:id="28" w:name="_Toc53393312"/>
      <w:r>
        <w:rPr>
          <w:sz w:val="28"/>
          <w:szCs w:val="28"/>
        </w:rPr>
        <w:t>Требования к документации по ценообразованию</w:t>
      </w:r>
      <w:bookmarkEnd w:id="28"/>
      <w:r>
        <w:rPr>
          <w:sz w:val="28"/>
          <w:szCs w:val="28"/>
        </w:rPr>
        <w:t xml:space="preserve"> на этапе закупки</w:t>
      </w:r>
      <w:bookmarkEnd w:id="27"/>
    </w:p>
    <w:p>
      <w:pPr>
        <w:pStyle w:val="Normal"/>
        <w:shd w:val="clear" w:color="auto" w:fill="FFFFFF" w:themeFill="background1"/>
        <w:spacing w:lineRule="auto" w:line="276"/>
        <w:jc w:val="both"/>
        <w:rPr>
          <w:rFonts w:eastAsia="Calibri"/>
        </w:rPr>
      </w:pPr>
      <w:r>
        <w:rPr>
          <w:rFonts w:eastAsia="Calibri"/>
          <w:sz w:val="24"/>
          <w:szCs w:val="24"/>
        </w:rPr>
        <w:t>3.1</w:t>
      </w:r>
      <w:r>
        <w:rPr>
          <w:rFonts w:eastAsia="Calibri"/>
        </w:rPr>
        <w:t xml:space="preserve">. </w:t>
      </w:r>
      <w:r>
        <w:rPr>
          <w:rFonts w:eastAsia="Calibri"/>
          <w:sz w:val="24"/>
          <w:szCs w:val="24"/>
        </w:rPr>
        <w:t>Стоимость продукции должна включать затраты на транспортировку, страхование, уплату налогов, таможенных пошлин, сборов и все остальные расходы, связанные с исполнением обязательств Участника по договору.</w:t>
      </w:r>
    </w:p>
    <w:p>
      <w:pPr>
        <w:pStyle w:val="Normal"/>
        <w:shd w:val="clear" w:color="auto" w:fill="FFFFFF" w:themeFill="background1"/>
        <w:spacing w:lineRule="auto" w:line="27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3.2. В обоснование стоимости своей заявки Участник предоставляет Коммерческое предложение по форме, приведенной в Документации о закупке. </w:t>
      </w:r>
    </w:p>
    <w:p>
      <w:pPr>
        <w:pStyle w:val="Normal"/>
        <w:spacing w:lineRule="auto" w:line="276"/>
        <w:jc w:val="both"/>
        <w:rPr>
          <w:rFonts w:eastAsia="Calibri"/>
          <w:sz w:val="24"/>
          <w:szCs w:val="24"/>
        </w:rPr>
      </w:pPr>
      <w:r>
        <w:rPr>
          <w:rFonts w:eastAsia="Calibri"/>
          <w:bCs/>
          <w:iCs/>
          <w:sz w:val="24"/>
          <w:szCs w:val="24"/>
          <w:lang w:eastAsia="x-none"/>
        </w:rPr>
        <w:t>3.3.</w:t>
      </w:r>
      <w:r>
        <w:rPr>
          <w:bCs/>
          <w:iCs/>
          <w:sz w:val="24"/>
          <w:szCs w:val="24"/>
          <w:lang w:eastAsia="x-none"/>
        </w:rPr>
        <w:t xml:space="preserve"> </w:t>
      </w:r>
      <w:r>
        <w:rPr>
          <w:rFonts w:eastAsia="Calibri"/>
          <w:bCs/>
          <w:iCs/>
          <w:sz w:val="24"/>
          <w:szCs w:val="24"/>
          <w:lang w:eastAsia="x-none"/>
        </w:rPr>
        <w:t>Дополнительные документы по ценообразованию в состав заявки не включаются.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rPr>
          <w:rFonts w:eastAsia="Calibri"/>
          <w:sz w:val="24"/>
          <w:szCs w:val="24"/>
        </w:rPr>
      </w:pPr>
      <w:r>
        <w:rPr/>
      </w:r>
    </w:p>
    <w:sectPr>
      <w:headerReference w:type="default" r:id="rId7"/>
      <w:headerReference w:type="first" r:id="rId8"/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Cambria">
    <w:charset w:val="01" w:characterSet="utf-8"/>
    <w:family w:val="roman"/>
    <w:pitch w:val="variable"/>
  </w:font>
  <w:font w:name="Arial"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OpenSymbol">
    <w:altName w:val="Arial Unicode MS"/>
    <w:charset w:val="01" w:characterSet="utf-8"/>
    <w:family w:val="roman"/>
    <w:pitch w:val="variable"/>
  </w:font>
  <w:font w:name="Liberation Sans">
    <w:altName w:val="Arial"/>
    <w:charset w:val="01" w:characterSet="utf-8"/>
    <w:family w:val="roman"/>
    <w:pitch w:val="variable"/>
  </w:font>
  <w:font w:name="Tahoma">
    <w:charset w:val="01" w:characterSet="utf-8"/>
    <w:family w:val="roman"/>
    <w:pitch w:val="variable"/>
  </w:font>
  <w:font w:name="Arial Unicode MS">
    <w:charset w:val="01" w:characterSet="utf-8"/>
    <w:family w:val="roman"/>
    <w:pitch w:val="variable"/>
  </w:font>
  <w:font w:name="Verdana">
    <w:charset w:val="01" w:characterSet="utf-8"/>
    <w:family w:val="roman"/>
    <w:pitch w:val="variable"/>
  </w:font>
  <w:font w:name="Garamond">
    <w:charset w:val="01" w:characterSet="utf-8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0" distT="0" distB="0" distL="0" distR="0" simplePos="0" locked="0" layoutInCell="0" allowOverlap="1" relativeHeight="2" wp14:anchorId="6CA2DB1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 wp14:anchorId="6CA2DB1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11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decimal"/>
      <w:lvlText w:val="%1.%2."/>
      <w:lvlJc w:val="start"/>
      <w:pPr>
        <w:tabs>
          <w:tab w:val="num" w:pos="357"/>
        </w:tabs>
        <w:ind w:start="0" w:hanging="0"/>
      </w:pPr>
      <w:rPr/>
    </w:lvl>
    <w:lvl w:ilvl="2">
      <w:start w:val="1"/>
      <w:numFmt w:val="decimal"/>
      <w:lvlText w:val="%1.%2.%3."/>
      <w:lvlJc w:val="start"/>
      <w:pPr>
        <w:tabs>
          <w:tab w:val="num" w:pos="357"/>
        </w:tabs>
        <w:ind w:start="0" w:hanging="0"/>
      </w:pPr>
      <w:rPr/>
    </w:lvl>
    <w:lvl w:ilvl="3">
      <w:start w:val="1"/>
      <w:numFmt w:val="decimal"/>
      <w:lvlText w:val="%1.%2.%3.%4."/>
      <w:lvlJc w:val="start"/>
      <w:pPr>
        <w:tabs>
          <w:tab w:val="num" w:pos="357"/>
        </w:tabs>
        <w:ind w:start="0" w:hanging="0"/>
      </w:pPr>
      <w:rPr/>
    </w:lvl>
    <w:lvl w:ilvl="4">
      <w:start w:val="1"/>
      <w:numFmt w:val="decimal"/>
      <w:lvlText w:val="%1.%2.%3.%4.%5."/>
      <w:lvlJc w:val="start"/>
      <w:pPr>
        <w:tabs>
          <w:tab w:val="num" w:pos="2520"/>
        </w:tabs>
        <w:ind w:start="0" w:hanging="0"/>
      </w:pPr>
      <w:rPr/>
    </w:lvl>
    <w:lvl w:ilvl="5">
      <w:start w:val="1"/>
      <w:numFmt w:val="decimal"/>
      <w:lvlText w:val="%1.%2.%3.%4.%5.%6."/>
      <w:lvlJc w:val="start"/>
      <w:pPr>
        <w:tabs>
          <w:tab w:val="num" w:pos="357"/>
        </w:tabs>
        <w:ind w:start="0" w:hanging="0"/>
      </w:pPr>
      <w:rPr/>
    </w:lvl>
    <w:lvl w:ilvl="6">
      <w:start w:val="1"/>
      <w:numFmt w:val="decimal"/>
      <w:lvlText w:val="%1.%2.%3.%4.%5.%6.%7."/>
      <w:lvlJc w:val="start"/>
      <w:pPr>
        <w:tabs>
          <w:tab w:val="num" w:pos="357"/>
        </w:tabs>
        <w:ind w:start="0" w:hanging="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357"/>
        </w:tabs>
        <w:ind w:start="0" w:hanging="0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357"/>
        </w:tabs>
        <w:ind w:start="0" w:hanging="0"/>
      </w:pPr>
      <w:rPr/>
    </w:lvl>
  </w:abstractNum>
  <w:abstractNum w:abstractNumId="2">
    <w:lvl w:ilvl="0">
      <w:start w:val="4"/>
      <w:numFmt w:val="bullet"/>
      <w:lvlText w:val="-"/>
      <w:lvlJc w:val="start"/>
      <w:pPr>
        <w:tabs>
          <w:tab w:val="num" w:pos="0"/>
        </w:tabs>
        <w:ind w:star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start"/>
      <w:pPr>
        <w:tabs>
          <w:tab w:val="num" w:pos="513"/>
        </w:tabs>
        <w:ind w:star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1233"/>
        </w:tabs>
        <w:ind w:star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1953"/>
        </w:tabs>
        <w:ind w:star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2673"/>
        </w:tabs>
        <w:ind w:star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3393"/>
        </w:tabs>
        <w:ind w:star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4113"/>
        </w:tabs>
        <w:ind w:star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4833"/>
        </w:tabs>
        <w:ind w:star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5553"/>
        </w:tabs>
        <w:ind w:star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1134" w:hanging="1134"/>
      </w:pPr>
      <w:rPr/>
    </w:lvl>
    <w:lvl w:ilvl="1">
      <w:start w:val="1"/>
      <w:numFmt w:val="decimal"/>
      <w:lvlText w:val="%1.%2."/>
      <w:lvlJc w:val="start"/>
      <w:pPr>
        <w:tabs>
          <w:tab w:val="num" w:pos="0"/>
        </w:tabs>
        <w:ind w:start="1134" w:hanging="1134"/>
      </w:pPr>
      <w:rPr/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134" w:hanging="1134"/>
      </w:pPr>
      <w:rPr/>
    </w:lvl>
    <w:lvl w:ilvl="3">
      <w:start w:val="1"/>
      <w:numFmt w:val="russianLower"/>
      <w:lvlText w:val="(%4)"/>
      <w:lvlJc w:val="start"/>
      <w:pPr>
        <w:tabs>
          <w:tab w:val="num" w:pos="0"/>
        </w:tabs>
        <w:ind w:start="1985" w:hanging="567"/>
      </w:pPr>
      <w:rPr/>
    </w:lvl>
    <w:lvl w:ilvl="4">
      <w:start w:val="1"/>
      <w:numFmt w:val="bullet"/>
      <w:lvlText w:val="–"/>
      <w:lvlJc w:val="start"/>
      <w:pPr>
        <w:tabs>
          <w:tab w:val="num" w:pos="0"/>
        </w:tabs>
        <w:ind w:star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1134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1701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1134" w:hanging="0"/>
      </w:pPr>
      <w:rPr/>
    </w:lvl>
  </w:abstractNum>
  <w:abstractNum w:abstractNumId="4">
    <w:lvl w:ilvl="0">
      <w:start w:val="1"/>
      <w:numFmt w:val="decimal"/>
      <w:lvlText w:val="1.%1"/>
      <w:lvlJc w:val="start"/>
      <w:pPr>
        <w:tabs>
          <w:tab w:val="num" w:pos="0"/>
        </w:tabs>
        <w:ind w:start="1429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2149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869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589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4309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5029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749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469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7189" w:hanging="180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start"/>
      <w:pPr>
        <w:tabs>
          <w:tab w:val="num" w:pos="630"/>
        </w:tabs>
        <w:ind w:start="106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1728" w:hanging="648"/>
      </w:pPr>
      <w:rPr/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2232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2736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3240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3744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4320" w:hanging="1440"/>
      </w:pPr>
      <w:rPr/>
    </w:lvl>
  </w:abstractNum>
  <w:abstractNum w:abstractNumId="6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10"/>
  <w:trackRevisio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TW" w:bidi="ar-SA"/>
  <w:documentProtection w:edit="trackedChanges" w:enforcement="1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035e96"/>
    <w:pPr>
      <w:keepNext w:val="true"/>
      <w:tabs>
        <w:tab w:val="clear" w:pos="708"/>
        <w:tab w:val="left" w:pos="0" w:leader="none"/>
      </w:tabs>
      <w:spacing w:before="120" w:after="60"/>
      <w:ind w:start="1224" w:hanging="504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1" w:customStyle="1">
    <w:name w:val="Гиперссылка1"/>
    <w:uiPriority w:val="99"/>
    <w:qFormat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035e96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6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2" w:customStyle="1">
    <w:name w:val="Подпункт Знак1"/>
    <w:link w:val="Style22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30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6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basedOn w:val="DefaultParagraphFont"/>
    <w:qFormat/>
    <w:rsid w:val="003879d4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3" w:customStyle="1">
    <w:name w:val="УРОВЕНЬ_1. Знак"/>
    <w:link w:val="110"/>
    <w:qFormat/>
    <w:rsid w:val="004a17ae"/>
    <w:rPr>
      <w:rFonts w:eastAsia="Calibri"/>
      <w:caps/>
      <w:sz w:val="28"/>
      <w:szCs w:val="28"/>
      <w:lang w:eastAsia="en-US"/>
    </w:rPr>
  </w:style>
  <w:style w:type="character" w:styleId="14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sid w:val="00c36f30"/>
    <w:rPr>
      <w:sz w:val="16"/>
      <w:szCs w:val="16"/>
    </w:rPr>
  </w:style>
  <w:style w:type="character" w:styleId="Style14" w:customStyle="1">
    <w:name w:val="Ссылка указателя"/>
    <w:qFormat/>
    <w:rPr/>
  </w:style>
  <w:style w:type="character" w:styleId="Style15" w:customStyle="1">
    <w:name w:val="Маркеры"/>
    <w:qFormat/>
    <w:rPr>
      <w:rFonts w:ascii="OpenSymbol" w:hAnsi="OpenSymbol" w:eastAsia="OpenSymbol" w:cs="OpenSymbol"/>
    </w:rPr>
  </w:style>
  <w:style w:type="character" w:styleId="Hyperlink">
    <w:name w:val="Hyperlink"/>
    <w:rPr>
      <w:color w:val="000080"/>
      <w:u w:val="single"/>
    </w:rPr>
  </w:style>
  <w:style w:type="character" w:styleId="Linenumber1">
    <w:name w:val="line number1"/>
    <w:qFormat/>
    <w:rPr/>
  </w:style>
  <w:style w:type="character" w:styleId="LineNumber">
    <w:name w:val="Line Number"/>
    <w:rPr/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" w:customStyle="1">
    <w:name w:val="index heading11111"/>
    <w:basedOn w:val="Title"/>
    <w:qFormat/>
    <w:pPr/>
    <w:rPr/>
  </w:style>
  <w:style w:type="paragraph" w:styleId="Caption111111" w:customStyle="1">
    <w:name w:val="caption1111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Indexheading111111" w:customStyle="1">
    <w:name w:val="index heading111111"/>
    <w:basedOn w:val="Title"/>
    <w:qFormat/>
    <w:pPr/>
    <w:rPr/>
  </w:style>
  <w:style w:type="paragraph" w:styleId="Style18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9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ind w:start="0" w:hanging="0"/>
      <w:jc w:val="center"/>
    </w:pPr>
    <w:rPr>
      <w:b/>
      <w:sz w:val="32"/>
      <w:szCs w:val="32"/>
    </w:rPr>
  </w:style>
  <w:style w:type="paragraph" w:styleId="Style20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tabs>
        <w:tab w:val="clear" w:pos="708"/>
        <w:tab w:val="left" w:pos="360" w:leader="none"/>
      </w:tabs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rsid w:val="00d561d9"/>
    <w:pPr/>
    <w:rPr>
      <w:sz w:val="20"/>
      <w:szCs w:val="20"/>
    </w:rPr>
  </w:style>
  <w:style w:type="paragraph" w:styleId="15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6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1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star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star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76353a"/>
    <w:pPr>
      <w:spacing w:before="0" w:after="120"/>
      <w:ind w:star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start="-567" w:end="-766" w:hanging="0"/>
      <w:jc w:val="center"/>
    </w:pPr>
    <w:rPr>
      <w:b/>
      <w:bCs/>
      <w:sz w:val="24"/>
      <w:szCs w:val="20"/>
    </w:rPr>
  </w:style>
  <w:style w:type="paragraph" w:styleId="Style22" w:customStyle="1">
    <w:name w:val="Подпункт"/>
    <w:basedOn w:val="Normal"/>
    <w:link w:val="12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star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star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421b6b"/>
    <w:pPr>
      <w:spacing w:before="120" w:after="0"/>
    </w:pPr>
    <w:rPr>
      <w:rFonts w:cs="Calibri Light (Заголовки)"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c01756"/>
    <w:pPr>
      <w:ind w:start="280" w:hanging="0"/>
    </w:pPr>
    <w:rPr>
      <w:rFonts w:cs="Calibri" w:cstheme="minorHAnsi"/>
      <w:sz w:val="20"/>
      <w:szCs w:val="20"/>
    </w:rPr>
  </w:style>
  <w:style w:type="paragraph" w:styleId="Style23" w:customStyle="1">
    <w:name w:val="Раздел регламента"/>
    <w:basedOn w:val="Normal"/>
    <w:qFormat/>
    <w:rsid w:val="00e228fa"/>
    <w:pPr/>
    <w:rPr/>
  </w:style>
  <w:style w:type="paragraph" w:styleId="Style24" w:customStyle="1">
    <w:name w:val="Приложение к регламенту"/>
    <w:basedOn w:val="Normal"/>
    <w:qFormat/>
    <w:rsid w:val="00e228fa"/>
    <w:pPr>
      <w:jc w:val="end"/>
    </w:pPr>
    <w:rPr/>
  </w:style>
  <w:style w:type="paragraph" w:styleId="TOC2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7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star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star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c01756"/>
    <w:pPr>
      <w:ind w:start="560" w:hanging="0"/>
    </w:pPr>
    <w:rPr>
      <w:rFonts w:cs="Calibri" w:cstheme="minorHAnsi"/>
      <w:sz w:val="24"/>
      <w:szCs w:val="24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5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star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star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start="936" w:end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6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311" w:customStyle="1">
    <w:name w:val="Список 3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star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7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start="1134" w:end="800" w:hanging="1134"/>
      <w:jc w:val="both"/>
    </w:pPr>
    <w:rPr>
      <w:rFonts w:ascii="Arial" w:hAnsi="Arial"/>
      <w:b/>
      <w:i/>
      <w:szCs w:val="20"/>
    </w:rPr>
  </w:style>
  <w:style w:type="paragraph" w:styleId="18" w:customStyle="1">
    <w:name w:val="Абзац списка1"/>
    <w:basedOn w:val="Normal"/>
    <w:qFormat/>
    <w:rsid w:val="00d22f6d"/>
    <w:pPr>
      <w:spacing w:lineRule="auto" w:line="276" w:before="0" w:after="200"/>
      <w:ind w:star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8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9" w:customStyle="1">
    <w:name w:val="Таблица шапка"/>
    <w:basedOn w:val="Normal"/>
    <w:qFormat/>
    <w:rsid w:val="00f64089"/>
    <w:pPr>
      <w:keepNext w:val="true"/>
      <w:spacing w:before="40" w:after="40"/>
      <w:ind w:start="57" w:end="57" w:hanging="0"/>
    </w:pPr>
    <w:rPr>
      <w:sz w:val="22"/>
      <w:szCs w:val="26"/>
    </w:rPr>
  </w:style>
  <w:style w:type="paragraph" w:styleId="Style30" w:customStyle="1">
    <w:name w:val="Подподпункт"/>
    <w:basedOn w:val="Style22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start="5104" w:hanging="567"/>
    </w:pPr>
    <w:rPr>
      <w:sz w:val="26"/>
      <w:szCs w:val="26"/>
      <w:lang w:val="ru-RU" w:eastAsia="ru-RU"/>
    </w:rPr>
  </w:style>
  <w:style w:type="paragraph" w:styleId="Style31" w:customStyle="1">
    <w:name w:val="УРОВЕНЬ_(а)"/>
    <w:basedOn w:val="ListParagraph"/>
    <w:qFormat/>
    <w:rsid w:val="00b56f46"/>
    <w:pPr>
      <w:numPr>
        <w:ilvl w:val="3"/>
        <w:numId w:val="3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3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3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rsid w:val="00b56f46"/>
    <w:pPr>
      <w:numPr>
        <w:ilvl w:val="7"/>
        <w:numId w:val="3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2" w:customStyle="1">
    <w:name w:val="УРОВЕНЬ_Подпись"/>
    <w:basedOn w:val="ListParagraph"/>
    <w:qFormat/>
    <w:rsid w:val="00b56f46"/>
    <w:pPr>
      <w:keepNext w:val="true"/>
      <w:numPr>
        <w:ilvl w:val="5"/>
        <w:numId w:val="3"/>
      </w:numPr>
      <w:spacing w:lineRule="exact" w:line="360" w:before="120" w:after="120"/>
      <w:contextualSpacing w:val="false"/>
      <w:jc w:val="end"/>
      <w:outlineLvl w:val="3"/>
    </w:pPr>
    <w:rPr>
      <w:sz w:val="26"/>
      <w:szCs w:val="28"/>
      <w:lang w:eastAsia="en-US"/>
    </w:rPr>
  </w:style>
  <w:style w:type="paragraph" w:styleId="19" w:customStyle="1">
    <w:name w:val="Стиль Заголовок 1 + по ширине"/>
    <w:basedOn w:val="Heading1"/>
    <w:qFormat/>
    <w:rsid w:val="005773b2"/>
    <w:pPr>
      <w:keepLines/>
      <w:tabs>
        <w:tab w:val="clear" w:pos="0"/>
        <w:tab w:val="left" w:pos="567" w:leader="none"/>
      </w:tabs>
      <w:spacing w:before="480" w:after="240"/>
      <w:ind w:star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4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3" w:customStyle="1">
    <w:name w:val="Таблица текст"/>
    <w:basedOn w:val="Normal"/>
    <w:qFormat/>
    <w:rsid w:val="00343e95"/>
    <w:pPr>
      <w:spacing w:before="40" w:after="40"/>
      <w:ind w:start="57" w:end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10" w:customStyle="1">
    <w:name w:val="УРОВЕНЬ_1."/>
    <w:basedOn w:val="ListParagraph"/>
    <w:link w:val="13"/>
    <w:qFormat/>
    <w:rsid w:val="004a17ae"/>
    <w:pPr>
      <w:keepNext w:val="true"/>
      <w:keepLines/>
      <w:spacing w:lineRule="auto" w:line="276" w:before="240" w:after="120"/>
      <w:ind w:star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star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star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star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yle34" w:customStyle="1">
    <w:name w:val="Содержимое врезки"/>
    <w:basedOn w:val="Normal"/>
    <w:qFormat/>
    <w:pPr/>
    <w:rPr/>
  </w:style>
  <w:style w:type="paragraph" w:styleId="Style35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6" w:customStyle="1">
    <w:name w:val="Заголовок таблицы"/>
    <w:basedOn w:val="Style35"/>
    <w:qFormat/>
    <w:pPr>
      <w:jc w:val="center"/>
    </w:pPr>
    <w:rPr>
      <w:b/>
      <w:bCs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numbering" w:styleId="13724779831" w:customStyle="1">
    <w:name w:val="13724779831"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9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d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header" Target="header7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6C073-A7D4-423E-8C43-8D72BFE19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Application>AlterOffice/3.4.0.9$Linux_X86_64 LibreOffice_project/b8daf9e823b1a5463a2f48435ddc2e8696e7d4fc</Application>
  <AppVersion>15.0000</AppVersion>
  <Pages>10</Pages>
  <Words>1055</Words>
  <Characters>7421</Characters>
  <CharactersWithSpaces>8581</CharactersWithSpaces>
  <Paragraphs>176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2024-10-08T10:50:00Z</dcterms:created>
  <dc:creator>Быстров Олег Геннадьевич</dc:creator>
  <dc:description/>
  <dc:language>ru-RU</dc:language>
  <cp:lastModifiedBy>gaynanovdf@corp.gidroogk.com</cp:lastModifiedBy>
  <dcterms:modified xsi:type="dcterms:W3CDTF">2026-07-30T11:32:40Z</dcterms:modified>
  <cp:revision>51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